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D0CBE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24022-80</w:t>
      </w:r>
    </w:p>
    <w:p w:rsidR="00000000" w:rsidRDefault="00BD0CBE">
      <w:pPr>
        <w:jc w:val="right"/>
        <w:rPr>
          <w:rFonts w:ascii="Times New Roman" w:hAnsi="Times New Roman"/>
          <w:sz w:val="20"/>
        </w:rPr>
      </w:pPr>
    </w:p>
    <w:p w:rsidR="00000000" w:rsidRDefault="00BD0CBE">
      <w:pPr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УДК</w:t>
      </w:r>
      <w:proofErr w:type="spellEnd"/>
      <w:r>
        <w:rPr>
          <w:rFonts w:ascii="Times New Roman" w:hAnsi="Times New Roman"/>
          <w:sz w:val="20"/>
        </w:rPr>
        <w:t xml:space="preserve"> 624.15</w:t>
      </w:r>
      <w:r>
        <w:rPr>
          <w:rFonts w:ascii="Times New Roman" w:hAnsi="Times New Roman"/>
          <w:sz w:val="20"/>
          <w:lang w:val="en-US"/>
        </w:rPr>
        <w:t>:</w:t>
      </w:r>
      <w:r>
        <w:rPr>
          <w:rFonts w:ascii="Times New Roman" w:hAnsi="Times New Roman"/>
          <w:sz w:val="20"/>
        </w:rPr>
        <w:t>691.328</w:t>
      </w:r>
      <w:r>
        <w:rPr>
          <w:rFonts w:ascii="Times New Roman" w:hAnsi="Times New Roman"/>
          <w:sz w:val="20"/>
          <w:lang w:val="en-US"/>
        </w:rPr>
        <w:t>:</w:t>
      </w:r>
      <w:r>
        <w:rPr>
          <w:rFonts w:ascii="Times New Roman" w:hAnsi="Times New Roman"/>
          <w:sz w:val="20"/>
        </w:rPr>
        <w:t xml:space="preserve">006.354   </w:t>
      </w:r>
      <w:r>
        <w:rPr>
          <w:rFonts w:ascii="Times New Roman" w:hAnsi="Times New Roman"/>
          <w:sz w:val="20"/>
          <w:lang w:val="en-US"/>
        </w:rPr>
        <w:t xml:space="preserve">   </w:t>
      </w:r>
      <w:r>
        <w:rPr>
          <w:rFonts w:ascii="Times New Roman" w:hAnsi="Times New Roman"/>
          <w:sz w:val="20"/>
        </w:rPr>
        <w:t xml:space="preserve">                                                         </w:t>
      </w:r>
      <w:r>
        <w:rPr>
          <w:rFonts w:ascii="Times New Roman" w:hAnsi="Times New Roman"/>
          <w:sz w:val="20"/>
          <w:lang w:val="en-US"/>
        </w:rPr>
        <w:t xml:space="preserve">   </w:t>
      </w:r>
      <w:r>
        <w:rPr>
          <w:rFonts w:ascii="Times New Roman" w:hAnsi="Times New Roman"/>
          <w:sz w:val="20"/>
        </w:rPr>
        <w:t xml:space="preserve">                           Группа Ж33</w:t>
      </w: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ФУНДАМЕНТЫ ЖЕЛЕЗОБЕТОННЫЕ СБОРНЫЕ ПОД </w:t>
      </w: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КОЛОННЫ СЕЛЬСКОХОЗЯЙСТВЕННЫХ ЗДАНИЙ</w:t>
      </w: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Технические условия</w:t>
      </w: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Precast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reinfoced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concrete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foundations</w:t>
      </w:r>
      <w:proofErr w:type="spellEnd"/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columns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of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agricultural</w:t>
      </w:r>
      <w:proofErr w:type="spellEnd"/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buildings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Specifications</w:t>
      </w:r>
      <w:proofErr w:type="spellEnd"/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BD0CBE">
      <w:pPr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ОКП</w:t>
      </w:r>
      <w:proofErr w:type="spellEnd"/>
      <w:r>
        <w:rPr>
          <w:rFonts w:ascii="Times New Roman" w:hAnsi="Times New Roman"/>
          <w:sz w:val="20"/>
        </w:rPr>
        <w:t xml:space="preserve"> 58 1221 </w:t>
      </w:r>
    </w:p>
    <w:p w:rsidR="00000000" w:rsidRDefault="00BD0CB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1981-01-01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РАЗРАБОТАН Министерством сельского хозяйства СССР, Государственным комитетом СССР по делам строительства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ИСПОЛНИТЕЛИ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И. Н. Котов (руководитель темы); М.Я. </w:t>
      </w:r>
      <w:proofErr w:type="spellStart"/>
      <w:r>
        <w:rPr>
          <w:rFonts w:ascii="Times New Roman" w:hAnsi="Times New Roman"/>
          <w:sz w:val="20"/>
        </w:rPr>
        <w:t>Кацман</w:t>
      </w:r>
      <w:proofErr w:type="spellEnd"/>
      <w:r>
        <w:rPr>
          <w:rFonts w:ascii="Times New Roman" w:hAnsi="Times New Roman"/>
          <w:sz w:val="20"/>
        </w:rPr>
        <w:t xml:space="preserve">; Ю. А. </w:t>
      </w:r>
      <w:proofErr w:type="spellStart"/>
      <w:r>
        <w:rPr>
          <w:rFonts w:ascii="Times New Roman" w:hAnsi="Times New Roman"/>
          <w:sz w:val="20"/>
        </w:rPr>
        <w:t>Вислогузов</w:t>
      </w:r>
      <w:proofErr w:type="spellEnd"/>
      <w:r>
        <w:rPr>
          <w:rFonts w:ascii="Times New Roman" w:hAnsi="Times New Roman"/>
          <w:sz w:val="20"/>
        </w:rPr>
        <w:t xml:space="preserve">; Г. И. </w:t>
      </w:r>
      <w:proofErr w:type="spellStart"/>
      <w:r>
        <w:rPr>
          <w:rFonts w:ascii="Times New Roman" w:hAnsi="Times New Roman"/>
          <w:sz w:val="20"/>
        </w:rPr>
        <w:t>Бердичевский</w:t>
      </w:r>
      <w:proofErr w:type="spellEnd"/>
      <w:r>
        <w:rPr>
          <w:rFonts w:ascii="Times New Roman" w:hAnsi="Times New Roman"/>
          <w:sz w:val="20"/>
        </w:rPr>
        <w:t xml:space="preserve">; д-р </w:t>
      </w:r>
      <w:proofErr w:type="spellStart"/>
      <w:r>
        <w:rPr>
          <w:rFonts w:ascii="Times New Roman" w:hAnsi="Times New Roman"/>
          <w:sz w:val="20"/>
        </w:rPr>
        <w:t>техн</w:t>
      </w:r>
      <w:proofErr w:type="spellEnd"/>
      <w:r>
        <w:rPr>
          <w:rFonts w:ascii="Times New Roman" w:hAnsi="Times New Roman"/>
          <w:sz w:val="20"/>
        </w:rPr>
        <w:t xml:space="preserve">. наук; Ф. А. </w:t>
      </w:r>
      <w:proofErr w:type="spellStart"/>
      <w:r>
        <w:rPr>
          <w:rFonts w:ascii="Times New Roman" w:hAnsi="Times New Roman"/>
          <w:sz w:val="20"/>
        </w:rPr>
        <w:t>Иссерс</w:t>
      </w:r>
      <w:proofErr w:type="spellEnd"/>
      <w:r>
        <w:rPr>
          <w:rFonts w:ascii="Times New Roman" w:hAnsi="Times New Roman"/>
          <w:sz w:val="20"/>
        </w:rPr>
        <w:t xml:space="preserve">, канд. </w:t>
      </w:r>
      <w:proofErr w:type="spellStart"/>
      <w:r>
        <w:rPr>
          <w:rFonts w:ascii="Times New Roman" w:hAnsi="Times New Roman"/>
          <w:sz w:val="20"/>
        </w:rPr>
        <w:t>техн</w:t>
      </w:r>
      <w:proofErr w:type="spellEnd"/>
      <w:r>
        <w:rPr>
          <w:rFonts w:ascii="Times New Roman" w:hAnsi="Times New Roman"/>
          <w:sz w:val="20"/>
        </w:rPr>
        <w:t>. наук; П. М. Зубко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 Министерством сельского хозяйства СССР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Зам. министра И. П. </w:t>
      </w:r>
      <w:proofErr w:type="spellStart"/>
      <w:r>
        <w:rPr>
          <w:rFonts w:ascii="Times New Roman" w:hAnsi="Times New Roman"/>
          <w:sz w:val="20"/>
        </w:rPr>
        <w:t>Быстрюков</w:t>
      </w:r>
      <w:proofErr w:type="spellEnd"/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УТВЕРЖДЕН И ВВЕ</w:t>
      </w:r>
      <w:r>
        <w:rPr>
          <w:rFonts w:ascii="Times New Roman" w:hAnsi="Times New Roman"/>
          <w:sz w:val="20"/>
        </w:rPr>
        <w:t xml:space="preserve">ДЕН В ДЕЙСТВИЕ постановлением Государственного комитета СССР по делам строительства от 14 февраля 1980 г. </w:t>
      </w:r>
      <w:proofErr w:type="spellStart"/>
      <w:r>
        <w:rPr>
          <w:rFonts w:ascii="Times New Roman" w:hAnsi="Times New Roman"/>
          <w:sz w:val="20"/>
        </w:rPr>
        <w:t>N</w:t>
      </w:r>
      <w:proofErr w:type="spellEnd"/>
      <w:r>
        <w:rPr>
          <w:rFonts w:ascii="Times New Roman" w:hAnsi="Times New Roman"/>
          <w:sz w:val="20"/>
        </w:rPr>
        <w:t xml:space="preserve"> 13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Настоящий стандарт распространяется на сборные железобетонные фундаменты стаканного типа, изготовляемые из тяжелого бетона и предназначаемые для применения в одноэтажных зданиях сельскохозяйственных предприятий, возводимых на грунтах с неагрессивными, а также слабо- и </w:t>
      </w:r>
      <w:proofErr w:type="spellStart"/>
      <w:r>
        <w:rPr>
          <w:rFonts w:ascii="Times New Roman" w:hAnsi="Times New Roman"/>
          <w:sz w:val="20"/>
        </w:rPr>
        <w:t>среднеагрессивными</w:t>
      </w:r>
      <w:proofErr w:type="spellEnd"/>
      <w:r>
        <w:rPr>
          <w:rFonts w:ascii="Times New Roman" w:hAnsi="Times New Roman"/>
          <w:sz w:val="20"/>
        </w:rPr>
        <w:t xml:space="preserve"> грунтовыми водами.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не распространяется на фундаменты, предназначаемые для применения в здани</w:t>
      </w:r>
      <w:r>
        <w:rPr>
          <w:rFonts w:ascii="Times New Roman" w:hAnsi="Times New Roman"/>
          <w:sz w:val="20"/>
        </w:rPr>
        <w:t>ях с расчетной сейсмичностью 8 баллов и выше.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ТИПЫ И РАЗМЕРЫ </w:t>
      </w:r>
    </w:p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1.1. Фундаменты по конструктивному исполнению подразделяются на три типа: 1Ф, 2Ф и </w:t>
      </w:r>
      <w:proofErr w:type="spellStart"/>
      <w:r>
        <w:rPr>
          <w:rFonts w:ascii="Times New Roman" w:hAnsi="Times New Roman"/>
          <w:sz w:val="20"/>
        </w:rPr>
        <w:t>ЗФ</w:t>
      </w:r>
      <w:proofErr w:type="spellEnd"/>
      <w:r>
        <w:rPr>
          <w:rFonts w:ascii="Times New Roman" w:hAnsi="Times New Roman"/>
          <w:sz w:val="20"/>
        </w:rPr>
        <w:t xml:space="preserve">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1.2. Фундаменты в зависимости от наличия и толщины опирающихся на них стен подразделяются на два вида: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под стены толщиной до 250 мм включительно или при их отсутствии;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2 - под стены толщиной более 250 мм.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1.3. Форма и размеры фундаментов, а также технические показатели должны соответствовать указанным в обязательном приложении и табл. 1.</w:t>
      </w:r>
    </w:p>
    <w:p w:rsidR="00000000" w:rsidRDefault="00BD0CB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 </w:t>
      </w:r>
    </w:p>
    <w:p w:rsidR="00000000" w:rsidRDefault="00BD0CBE">
      <w:pPr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290"/>
        <w:gridCol w:w="765"/>
        <w:gridCol w:w="922"/>
        <w:gridCol w:w="851"/>
        <w:gridCol w:w="1943"/>
        <w:gridCol w:w="865"/>
        <w:gridCol w:w="738"/>
        <w:gridCol w:w="1192"/>
        <w:gridCol w:w="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Основные размеры, мм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материала</w:t>
            </w:r>
          </w:p>
        </w:tc>
        <w:tc>
          <w:tcPr>
            <w:tcW w:w="12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 фундамента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Длина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Высота</w:t>
            </w:r>
          </w:p>
        </w:tc>
        <w:tc>
          <w:tcPr>
            <w:tcW w:w="19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Проектная марка бетона по прочности на сжатие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>
                  <v:imagedata r:id="rId4" o:title=""/>
                </v:shape>
              </w:pic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Сталь, кг </w:t>
            </w:r>
          </w:p>
        </w:tc>
        <w:tc>
          <w:tcPr>
            <w:tcW w:w="11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 </w:t>
            </w:r>
            <w:proofErr w:type="spellStart"/>
            <w:r>
              <w:rPr>
                <w:rFonts w:ascii="Times New Roman" w:hAnsi="Times New Roman"/>
                <w:sz w:val="20"/>
              </w:rPr>
              <w:t>фундамента,т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1Ф9.9-1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14,9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1Ф12.9-2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0 ,49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16 ,9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1Ф12.12-1</w:t>
            </w:r>
          </w:p>
        </w:tc>
        <w:tc>
          <w:tcPr>
            <w:tcW w:w="7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1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1Ф12.12-2</w:t>
            </w:r>
          </w:p>
        </w:tc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2Ф15. I5-2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27 ,1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ЗФ15.15-1</w:t>
            </w:r>
          </w:p>
        </w:tc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9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26,3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ЗФ18.18-2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</w:t>
            </w:r>
          </w:p>
        </w:tc>
        <w:tc>
          <w:tcPr>
            <w:tcW w:w="19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1,34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38,5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</w:t>
            </w:r>
          </w:p>
        </w:tc>
      </w:tr>
    </w:tbl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180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1.4. Фундаменты обозначаются марками, состоящими из двух буквенно-цифровых групп, составленными в со</w:t>
      </w:r>
      <w:r>
        <w:rPr>
          <w:rFonts w:ascii="Times New Roman" w:hAnsi="Times New Roman"/>
          <w:sz w:val="20"/>
        </w:rPr>
        <w:t>ответствии с ГОСТ 23009-78.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первую группу входят тип фундамента и размеры его подошвы в дециметрах, во вторую группу входят вид фундамента в зависимости от толщины опирающихся на них стен и стойкость к агрессивной среде (при необходимости), обозначаемая буквой П.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Пример условного обозначения фундамента типа 1Ф с размерами подошвы 900х900 мм, под стены толщиной до 250 мм, возводимого на грунте с неагрессивной степенью воздействия грунтовых вод или при их отсутствии.</w:t>
      </w:r>
    </w:p>
    <w:p w:rsidR="00000000" w:rsidRDefault="00BD0CBE">
      <w:pPr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1Ф9.9-1 ГОСТ 24022-80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типа 2Ф с </w:t>
      </w:r>
      <w:r>
        <w:rPr>
          <w:rFonts w:ascii="Times New Roman" w:hAnsi="Times New Roman"/>
          <w:sz w:val="20"/>
        </w:rPr>
        <w:t xml:space="preserve">размерами подошвы 1500х1500 мм, под стены толщиной более 250 мм, возводимого на грунте со слабо- или </w:t>
      </w:r>
      <w:proofErr w:type="spellStart"/>
      <w:r>
        <w:rPr>
          <w:rFonts w:ascii="Times New Roman" w:hAnsi="Times New Roman"/>
          <w:sz w:val="20"/>
        </w:rPr>
        <w:t>среднеагрессивной</w:t>
      </w:r>
      <w:proofErr w:type="spellEnd"/>
      <w:r>
        <w:rPr>
          <w:rFonts w:ascii="Times New Roman" w:hAnsi="Times New Roman"/>
          <w:sz w:val="20"/>
        </w:rPr>
        <w:t xml:space="preserve"> степенью воздействия грунтовых вод:</w:t>
      </w:r>
    </w:p>
    <w:p w:rsidR="00000000" w:rsidRDefault="00BD0CBE">
      <w:pPr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2Ф15.15-2П ГОСТ 24022-80</w:t>
      </w:r>
    </w:p>
    <w:p w:rsidR="00000000" w:rsidRDefault="00BD0CBE">
      <w:pPr>
        <w:jc w:val="center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Фундаменты должны изготовляться в соответствии с требованиями настоящего стандарта по рабочим чертежам, приведенным в обязательном приложении к настоящему стандарту.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Фундаменты должны изготовляться в стальных формах, удовлетворяющих требованиям ГОСТ 18886-73.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изготовлять фундаменты</w:t>
      </w:r>
      <w:r>
        <w:rPr>
          <w:rFonts w:ascii="Times New Roman" w:hAnsi="Times New Roman"/>
          <w:sz w:val="20"/>
        </w:rPr>
        <w:t xml:space="preserve"> в неметаллических формах, обеспечивающих соблюдение требований настоящего стандарта к качеству и точности изготовления конструкций.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 Для изготовления фундаментов должен применяться бетон по прочности на сжатие М200.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Материалы, применяемые для приготовления бетона, должны удовлетворять действующим стандартам или утвержденным в установленном порядке техническим условиям на эти материалы.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Бетон по морозостойкости должен соответствовать маркам, назначаемым в зависимости от режима эксплуатации к</w:t>
      </w:r>
      <w:r>
        <w:rPr>
          <w:rFonts w:ascii="Times New Roman" w:hAnsi="Times New Roman"/>
          <w:sz w:val="20"/>
        </w:rPr>
        <w:t>онструкции и климатических условий района строительства согласно главе СНиП II-21-75.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Бетон, а также материалы для приготовления бетона фундаментов, применяемых в условиях воздействия агрессивной среды, должны удовлетворять требованиям главы СНиП II-28-73.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2.6.1. Бетон фундаментов, предназначенных для работы в условиях воздействия слабо- или </w:t>
      </w:r>
      <w:proofErr w:type="spellStart"/>
      <w:r>
        <w:rPr>
          <w:rFonts w:ascii="Times New Roman" w:hAnsi="Times New Roman"/>
          <w:sz w:val="20"/>
        </w:rPr>
        <w:t>среднеагрессивных</w:t>
      </w:r>
      <w:proofErr w:type="spellEnd"/>
      <w:r>
        <w:rPr>
          <w:rFonts w:ascii="Times New Roman" w:hAnsi="Times New Roman"/>
          <w:sz w:val="20"/>
        </w:rPr>
        <w:t xml:space="preserve"> грунтовых вод, должен быть повышенной плотности (</w:t>
      </w:r>
      <w:proofErr w:type="spellStart"/>
      <w:r>
        <w:rPr>
          <w:rFonts w:ascii="Times New Roman" w:hAnsi="Times New Roman"/>
          <w:sz w:val="20"/>
        </w:rPr>
        <w:t>П</w:t>
      </w:r>
      <w:proofErr w:type="spellEnd"/>
      <w:r>
        <w:rPr>
          <w:rFonts w:ascii="Times New Roman" w:hAnsi="Times New Roman"/>
          <w:sz w:val="20"/>
        </w:rPr>
        <w:t>).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Показатели плотности бетона должны соответствовать показателям, установленным главой СНиП II</w:t>
      </w:r>
      <w:r>
        <w:rPr>
          <w:rFonts w:ascii="Times New Roman" w:hAnsi="Times New Roman"/>
          <w:sz w:val="20"/>
        </w:rPr>
        <w:t>-28-73.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2.7. Для армирования фундаментов применяют горячекатаную арматурную сталь класса </w:t>
      </w:r>
      <w:proofErr w:type="spellStart"/>
      <w:r>
        <w:rPr>
          <w:rFonts w:ascii="Times New Roman" w:hAnsi="Times New Roman"/>
          <w:sz w:val="20"/>
        </w:rPr>
        <w:t>А-III</w:t>
      </w:r>
      <w:proofErr w:type="spellEnd"/>
      <w:r>
        <w:rPr>
          <w:rFonts w:ascii="Times New Roman" w:hAnsi="Times New Roman"/>
          <w:sz w:val="20"/>
        </w:rPr>
        <w:t xml:space="preserve"> по ГОСТ 5781-75 и ГОСТ 5.1459-72 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2.8. Сварные арматурные изделия должны соответствовать требованиям ГОСТ 10922-75.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Сварные соединения арматурных сеток следует производить контактной сваркой. Сварке подлежат все пересечения стержней.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 Монтажные петли фундаментов должны изготовляться из горячекатаной гладкой арматурной стали класса </w:t>
      </w:r>
      <w:proofErr w:type="spellStart"/>
      <w:r>
        <w:rPr>
          <w:rFonts w:ascii="Times New Roman" w:hAnsi="Times New Roman"/>
          <w:sz w:val="20"/>
        </w:rPr>
        <w:t>А-I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мapок</w:t>
      </w:r>
      <w:proofErr w:type="spellEnd"/>
      <w:r>
        <w:rPr>
          <w:rFonts w:ascii="Times New Roman" w:hAnsi="Times New Roman"/>
          <w:sz w:val="20"/>
        </w:rPr>
        <w:t xml:space="preserve"> ВСтЗсп2 и ВСтЗпс2 или из арматурной стали периодического профи</w:t>
      </w:r>
      <w:r>
        <w:rPr>
          <w:rFonts w:ascii="Times New Roman" w:hAnsi="Times New Roman"/>
          <w:sz w:val="20"/>
        </w:rPr>
        <w:t xml:space="preserve">ля класса </w:t>
      </w:r>
      <w:proofErr w:type="spellStart"/>
      <w:r>
        <w:rPr>
          <w:rFonts w:ascii="Times New Roman" w:hAnsi="Times New Roman"/>
          <w:sz w:val="20"/>
        </w:rPr>
        <w:t>Ас-II</w:t>
      </w:r>
      <w:proofErr w:type="spellEnd"/>
      <w:r>
        <w:rPr>
          <w:rFonts w:ascii="Times New Roman" w:hAnsi="Times New Roman"/>
          <w:sz w:val="20"/>
        </w:rPr>
        <w:t xml:space="preserve"> марки 10ГТ по ГОСТ 5781-75.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Сталь марки ВСтЗпс2 не допускается применять для изготовления монтажных петель, предназначенных для подъема и монтажа фундаментов при температуре ниже минус 40°С.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Поставка фундаментов потребителю должна производиться после достижения бетоном отпускной прочности, которая назначается и согласовывается в соответствии с ГОСТ 13015-75. При этом, величина отпускной прочности бетона должна быть не менее 60% прочности, соответствующей его проектной марке по прочност</w:t>
      </w:r>
      <w:r>
        <w:rPr>
          <w:rFonts w:ascii="Times New Roman" w:hAnsi="Times New Roman"/>
          <w:sz w:val="20"/>
        </w:rPr>
        <w:t>и на сжатие.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2.12. Проектное положение арматурных изделий и толщину защитного слоя бетона следует фиксировать прокладками из плотного цементно-песчаного раствора или пластмассовыми фиксаторами.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Применение стальных фиксаторов не допускается.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2.13. Отклонения фактических размеров и формы фундаментов от проектных не должны </w:t>
      </w:r>
      <w:r>
        <w:rPr>
          <w:rFonts w:ascii="Times New Roman" w:hAnsi="Times New Roman"/>
          <w:sz w:val="20"/>
        </w:rPr>
        <w:lastRenderedPageBreak/>
        <w:t>превышать, мм: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2225"/>
        <w:gridCol w:w="7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25" w:type="dxa"/>
          </w:tcPr>
          <w:p w:rsidR="00000000" w:rsidRDefault="00BD0CB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длине и ширине</w:t>
            </w:r>
          </w:p>
        </w:tc>
        <w:tc>
          <w:tcPr>
            <w:tcW w:w="752" w:type="dxa"/>
          </w:tcPr>
          <w:p w:rsidR="00000000" w:rsidRDefault="00BD0CB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±15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5" w:type="dxa"/>
          </w:tcPr>
          <w:p w:rsidR="00000000" w:rsidRDefault="00BD0CB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высоте</w:t>
            </w:r>
          </w:p>
        </w:tc>
        <w:tc>
          <w:tcPr>
            <w:tcW w:w="752" w:type="dxa"/>
          </w:tcPr>
          <w:p w:rsidR="00000000" w:rsidRDefault="00BD0CB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±10</w:t>
            </w:r>
          </w:p>
        </w:tc>
      </w:tr>
    </w:tbl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2.14. Отклонения от проектных размеров стакана под колонну и выступов фундамента не должны превышать ±5 мм.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2.15. Отклонения от проектн</w:t>
      </w:r>
      <w:r>
        <w:rPr>
          <w:rFonts w:ascii="Times New Roman" w:hAnsi="Times New Roman"/>
          <w:sz w:val="20"/>
        </w:rPr>
        <w:t>ой толщины защитного слоя бетона до арматуры не должны превышать +10; -5 мм.</w:t>
      </w:r>
    </w:p>
    <w:p w:rsidR="00000000" w:rsidRDefault="00BD0CBE">
      <w:pPr>
        <w:ind w:firstLine="18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2.16. На поверхностях фундаментов не допускаются: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раковины диаметром более 15 мм и глубиной более 5 мм,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местные наплывы бетона и впадины высотой и глубиной более 5 мм;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околы</w:t>
      </w:r>
      <w:proofErr w:type="spellEnd"/>
      <w:r>
        <w:rPr>
          <w:rFonts w:ascii="Times New Roman" w:hAnsi="Times New Roman"/>
          <w:sz w:val="20"/>
        </w:rPr>
        <w:t xml:space="preserve"> бетона ребер глубиной более 10 мм общей длиной более 100 мм на 1 м ребра;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трещины, за исключением усадочных, шириной не более 0,1 мм;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обнажение арматуры.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</w:t>
      </w:r>
    </w:p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Фундаменты должны быть приняты техническим контролем предприятия-изготовителя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Приемка фундаментов должна производиться партиями. В состав партии входят фундаменты, изготовленные предприятием в течение не более одних суток по одной технологии из материалов одного вида и качества.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Объем партии устанавливается по соглашению предприятия-изготовителя с потребителем, но не более 200 шт.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Проверку размеров, положения монтажных петель, толщины защитного слоя бетона, расположения арматуры, качества поверхностей фундаментов проводят для каждой партии фундаментов методом двухступенч</w:t>
      </w:r>
      <w:r>
        <w:rPr>
          <w:rFonts w:ascii="Times New Roman" w:hAnsi="Times New Roman"/>
          <w:sz w:val="20"/>
        </w:rPr>
        <w:t>атого контроля в соответствии с табл. 2.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 </w:t>
      </w:r>
    </w:p>
    <w:p w:rsidR="00000000" w:rsidRDefault="00BD0CBE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965"/>
        <w:gridCol w:w="1665"/>
        <w:gridCol w:w="1320"/>
        <w:gridCol w:w="1575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Объем партии, </w:t>
            </w:r>
            <w:proofErr w:type="spellStart"/>
            <w:r>
              <w:rPr>
                <w:rFonts w:ascii="Times New Roman" w:hAnsi="Times New Roman"/>
                <w:sz w:val="20"/>
              </w:rPr>
              <w:t>шт</w:t>
            </w:r>
            <w:proofErr w:type="spellEnd"/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Выборка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Объем выборки, шт.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Приемочное число, </w:t>
            </w:r>
            <w:proofErr w:type="spellStart"/>
            <w:r>
              <w:rPr>
                <w:rFonts w:ascii="Times New Roman" w:hAnsi="Times New Roman"/>
                <w:sz w:val="20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Браковочное число, </w:t>
            </w:r>
            <w:proofErr w:type="spellStart"/>
            <w:r>
              <w:rPr>
                <w:rFonts w:ascii="Times New Roman" w:hAnsi="Times New Roman"/>
                <w:sz w:val="20"/>
              </w:rPr>
              <w:t>шт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25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Вторая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26 до 90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Вторая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90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Вторая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D0CB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</w:tbl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Партию фундаментов принимают, если количество дефектных* фундаментов в первой выборке меньше или равно приемочному числу.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* Фундамент следует считать дефектным, если он не удовлетворяет хотя бы одному из требований </w:t>
      </w:r>
      <w:proofErr w:type="spellStart"/>
      <w:r>
        <w:rPr>
          <w:rFonts w:ascii="Times New Roman" w:hAnsi="Times New Roman"/>
          <w:sz w:val="20"/>
        </w:rPr>
        <w:t>нястоящего</w:t>
      </w:r>
      <w:proofErr w:type="spellEnd"/>
      <w:r>
        <w:rPr>
          <w:rFonts w:ascii="Times New Roman" w:hAnsi="Times New Roman"/>
          <w:sz w:val="20"/>
        </w:rPr>
        <w:t xml:space="preserve"> стандарта.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</w:t>
      </w:r>
      <w:r>
        <w:rPr>
          <w:rFonts w:ascii="Times New Roman" w:hAnsi="Times New Roman"/>
          <w:sz w:val="20"/>
        </w:rPr>
        <w:t>количество дефектных фундаментов в первой выборке больше приемочного числа, но меньше браковочного, производят вторую выборку. Партию фундаментов принимают, если количество дефектных фундаментов в двух выборках меньше или равно приемочному числу второй выборки. Если количество дефектных фундаментов в двух выборках больше или равно браковочному числу второй выборки, то все фундаменты в партии проверяют поштучно. При этом фундаменты, не удовлетворяющие заданным требованиям, бракуют.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Оценку качества фунда</w:t>
      </w:r>
      <w:r>
        <w:rPr>
          <w:rFonts w:ascii="Times New Roman" w:hAnsi="Times New Roman"/>
          <w:sz w:val="20"/>
        </w:rPr>
        <w:t>ментов проверяемой партии по результатам осмотра и измерений отобранных образцов производят в соответствии с требованиями ГОСТ 13015-75 и настоящего стандарта.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 Оценки проектной марки бетона по прочности на сжатие следует производить по ГОСТ 18105-72 или ГОСТ 21217-75 с учетом однородности прочности бетона.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 В случаях, если при проверке установлено, что отпускная прочность бетона фундаментов не удовлетворяет требованию, указанному в п. 2.11 настоящего стандарта, приемка фундаментов не должна произво</w:t>
      </w:r>
      <w:r>
        <w:rPr>
          <w:rFonts w:ascii="Times New Roman" w:hAnsi="Times New Roman"/>
          <w:sz w:val="20"/>
        </w:rPr>
        <w:t>диться до достижения бетоном отпускной прочности.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3.8. Испытание бетона на морозостойкость, водонепроницаемость и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следует проводить при освоении производства фундаментов и изменении вида и качества материалов, применяемых для приготовления бетона. Кроме того, следует проводить периодические испытания не реже: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морозостойкость - одного раза в шесть месяцев;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водонепроницаемость и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- одного раза в три месяца.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3.9. Показатели физико-механических свойств бетона и другие показат</w:t>
      </w:r>
      <w:r>
        <w:rPr>
          <w:rFonts w:ascii="Times New Roman" w:hAnsi="Times New Roman"/>
          <w:sz w:val="20"/>
        </w:rPr>
        <w:t>ели, которые не могут быть проверены на готовых фундаментах, следует определять по журналам операционного контроля или путем контроля и испытаний в соответствии с требованиями, приведенными в разд. 4 настоящего стандарта.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3.10. Потребитель имеет право проводить выборочный контроль фундаментов по показателям, указанным в п. 3.3, соблюдая при этом правила, установленные настоящим стандартом. Остальные показатели качества потребитель имеет право проверять по данным журналов </w:t>
      </w:r>
      <w:proofErr w:type="spellStart"/>
      <w:r>
        <w:rPr>
          <w:rFonts w:ascii="Times New Roman" w:hAnsi="Times New Roman"/>
          <w:sz w:val="20"/>
        </w:rPr>
        <w:t>ОТК</w:t>
      </w:r>
      <w:proofErr w:type="spellEnd"/>
      <w:r>
        <w:rPr>
          <w:rFonts w:ascii="Times New Roman" w:hAnsi="Times New Roman"/>
          <w:sz w:val="20"/>
        </w:rPr>
        <w:t xml:space="preserve"> и заводской лаборатории.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треб</w:t>
      </w:r>
      <w:r>
        <w:rPr>
          <w:rFonts w:ascii="Times New Roman" w:hAnsi="Times New Roman"/>
          <w:sz w:val="20"/>
        </w:rPr>
        <w:t>ованию потребителя завод-изготовитель обязан сообщить ему результаты лабораторных испытаний в месячный срок после их окончания.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МЕТОДЫ КОНТРОЛЯ И ИСПЫТАНИЙ </w:t>
      </w:r>
    </w:p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Прочность бетона на сжатие следует определять по ГОСТ 10180-78.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Отпускную прочность бетона следует определять неразрушающими методами по ГОСТ 17624-78, ГОСТ 21243-75, ГОСТ 22690.0-77-ГОСТ 22690.4-77.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Морозостойкость бетона следует определять по ГОСТ 10060-76.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Водонепроницаемость бетона (при необходимости) следует определять по велич</w:t>
      </w:r>
      <w:r>
        <w:rPr>
          <w:rFonts w:ascii="Times New Roman" w:hAnsi="Times New Roman"/>
          <w:sz w:val="20"/>
        </w:rPr>
        <w:t xml:space="preserve">ине коэффициента фильтрации </w:t>
      </w:r>
      <w:r>
        <w:rPr>
          <w:rFonts w:ascii="Times New Roman" w:hAnsi="Times New Roman"/>
          <w:position w:val="-13"/>
          <w:sz w:val="20"/>
        </w:rPr>
        <w:pict>
          <v:shape id="_x0000_i1026" type="#_x0000_t75" style="width:20.25pt;height:18pt">
            <v:imagedata r:id="rId5" o:title=""/>
          </v:shape>
        </w:pict>
      </w:r>
      <w:r>
        <w:rPr>
          <w:rFonts w:ascii="Times New Roman" w:hAnsi="Times New Roman"/>
          <w:sz w:val="20"/>
        </w:rPr>
        <w:t xml:space="preserve"> согласно ГОСТ 19426-74.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Величины коэффициента фильтрации </w:t>
      </w:r>
      <w:r>
        <w:rPr>
          <w:rFonts w:ascii="Times New Roman" w:hAnsi="Times New Roman"/>
          <w:position w:val="-13"/>
          <w:sz w:val="20"/>
        </w:rPr>
        <w:pict>
          <v:shape id="_x0000_i1027" type="#_x0000_t75" style="width:20.25pt;height:18pt">
            <v:imagedata r:id="rId5" o:title=""/>
          </v:shape>
        </w:pict>
      </w:r>
      <w:r>
        <w:rPr>
          <w:rFonts w:ascii="Times New Roman" w:hAnsi="Times New Roman"/>
          <w:sz w:val="20"/>
        </w:rPr>
        <w:t xml:space="preserve"> , соответствующие маркам бетона по водонепроницаемости, следует принимать по главе СНиП II-21-75.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отсутствии соответствующего оборудования допускается определять марку бетона по водонепроницаемости по ГОСТ 12730.0-78 и ГОСТ 12730.5-78.   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4.4.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бетона фундаментов, предназначенных для применения в условиях воздействия агрессивной среды, следует определять по ГОСТ 12730.0-78 и ГОСТ 12730.3-78.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 Ме</w:t>
      </w:r>
      <w:r>
        <w:rPr>
          <w:rFonts w:ascii="Times New Roman" w:hAnsi="Times New Roman"/>
          <w:sz w:val="20"/>
        </w:rPr>
        <w:t xml:space="preserve">тоды контроля и испытаний арматурных и закладных изделий - по ГОСТ 10922-75.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4.6. Плотность (объемную массу) бетона следует определять по ГОСТ 12730.1-78.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определять плотность (объемную массу) по ГОСТ 17623-78.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4.7. Толщину защитного слоя и положение арматуры в бетоне фундаментов следует определять неразрушающими методами по ГОСТ 17625-72 или ГОСТ 22904-78.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необходимых приборов допускается вырубка борозд и обнажение арматуры фундамента с последующей заделкой борозд.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4.8. Размер</w:t>
      </w:r>
      <w:r>
        <w:rPr>
          <w:rFonts w:ascii="Times New Roman" w:hAnsi="Times New Roman"/>
          <w:sz w:val="20"/>
        </w:rPr>
        <w:t xml:space="preserve">ы, </w:t>
      </w:r>
      <w:proofErr w:type="spellStart"/>
      <w:r>
        <w:rPr>
          <w:rFonts w:ascii="Times New Roman" w:hAnsi="Times New Roman"/>
          <w:sz w:val="20"/>
        </w:rPr>
        <w:t>непрямолинейность</w:t>
      </w:r>
      <w:proofErr w:type="spellEnd"/>
      <w:r>
        <w:rPr>
          <w:rFonts w:ascii="Times New Roman" w:hAnsi="Times New Roman"/>
          <w:sz w:val="20"/>
        </w:rPr>
        <w:t>, качество поверхностей и внешний вид фундаментов, положение монтажных петель, толщину защитного слоя бетона до арматуры проверяют в соответствии с ГОСТ 13015-75 и настоящим стандартом.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МАРКИРОВКА, ХРАНЕНИЕ И ТРАНСПОРТИРОВАНИЕ</w:t>
      </w:r>
    </w:p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5.1. На боковой грани фундамента должны быть нанесены несмываемой краской следующие </w:t>
      </w:r>
      <w:proofErr w:type="spellStart"/>
      <w:r>
        <w:rPr>
          <w:rFonts w:ascii="Times New Roman" w:hAnsi="Times New Roman"/>
          <w:sz w:val="20"/>
        </w:rPr>
        <w:t>маркировочные</w:t>
      </w:r>
      <w:proofErr w:type="spellEnd"/>
      <w:r>
        <w:rPr>
          <w:rFonts w:ascii="Times New Roman" w:hAnsi="Times New Roman"/>
          <w:sz w:val="20"/>
        </w:rPr>
        <w:t xml:space="preserve"> знаки: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товарный знак предприятия-изготовителя или его краткое наименование;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марка фундамента;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дата изготовления;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штамп отдела технического контроля;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масса фунд</w:t>
      </w:r>
      <w:r>
        <w:rPr>
          <w:rFonts w:ascii="Times New Roman" w:hAnsi="Times New Roman"/>
          <w:sz w:val="20"/>
        </w:rPr>
        <w:t>амента в т.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5.2. Хранение и транспортирование фундаментов следует производить в рабочем положении.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5.3. Фундаменты должны храниться в штабелях рассортированными по маркам и партиям. Высота штабеля фундаментов не должна превышать двух рядов.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5.4. При хранении каждый фундамент должен укладываться на деревянные инвентарные прокладки и подкладки. Толщина прокладок должна быть не менее 80 мм, подкладок -не менее 30 мм. Прокладки в штабеле должны располагаться по одной вертикали.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Подкладки под нижний ряд фундаме</w:t>
      </w:r>
      <w:r>
        <w:rPr>
          <w:rFonts w:ascii="Times New Roman" w:hAnsi="Times New Roman"/>
          <w:sz w:val="20"/>
        </w:rPr>
        <w:t xml:space="preserve">нтов следует укладывать по плотному, тщательно выровненному основанию.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5.5. При погрузке, транспортировании, разгрузке и хранении фундаментов должны соблюдаться меры, исключающие возможность их повреждения.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5.6. Транспортировка фундаментов должна производиться в один ряд с надежным закреплением изделий, предохраняющим их от смещения во время перевозки.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5.7. Каждая партия фундаментов должна сопровождаться документом установленной формы, в котором должны быть указаны: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наименование и адрес предприятия-изгото</w:t>
      </w:r>
      <w:r>
        <w:rPr>
          <w:rFonts w:ascii="Times New Roman" w:hAnsi="Times New Roman"/>
          <w:sz w:val="20"/>
        </w:rPr>
        <w:t xml:space="preserve">вителя;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номер и дата выдачи документа;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номер партии;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марки фундаментов;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количество фундаментов в партии;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проектная марка бетона по прочности на сжатие;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отпускная прочность бетона в процентах от проектной марки по прочности на сжатие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марка бетона по морозостойкости и водонепроницаемости;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бетона в процентах по весу; 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обозначение настоящего стандарта.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ГАРАНТИИ ИЗГОТОВИТЕЛЯ</w:t>
      </w:r>
    </w:p>
    <w:p w:rsidR="00000000" w:rsidRDefault="00BD0CBE">
      <w:pPr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18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6.1. Изготовитель должен гарантировать соответствие поставляемых фундаментов требованиям настоящего стандарта пр</w:t>
      </w:r>
      <w:r>
        <w:rPr>
          <w:rFonts w:ascii="Times New Roman" w:hAnsi="Times New Roman"/>
          <w:sz w:val="20"/>
        </w:rPr>
        <w:t>и соблюдении потребителем правил транспортирования, условий применения и хранения фундаментов, установленных стандартом.</w: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419.25pt;height:613.5pt">
            <v:imagedata r:id="rId6" o:title=""/>
          </v:shape>
        </w:pic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320" w:dyaOrig="9180">
          <v:shape id="_x0000_i1029" type="#_x0000_t75" style="width:693pt;height:477.75pt" o:ole="">
            <v:imagedata r:id="rId7" o:title=""/>
          </v:shape>
          <o:OLEObject Type="Embed" ProgID="MSPhotoEd.3" ShapeID="_x0000_i1029" DrawAspect="Content" ObjectID="_1427199735" r:id="rId8"/>
        </w:objec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object w:dxaOrig="13290" w:dyaOrig="9135">
          <v:shape id="_x0000_i1030" type="#_x0000_t75" style="width:707.25pt;height:486pt" o:ole="">
            <v:imagedata r:id="rId9" o:title=""/>
          </v:shape>
          <o:OLEObject Type="Embed" ProgID="MSPhotoEd.3" ShapeID="_x0000_i1030" DrawAspect="Content" ObjectID="_1427199736" r:id="rId10"/>
        </w:object>
      </w:r>
    </w:p>
    <w:p w:rsidR="00000000" w:rsidRDefault="00BD0CB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444pt;height:644.25pt">
            <v:imagedata r:id="rId11" o:title=""/>
          </v:shape>
        </w:pict>
      </w:r>
    </w:p>
    <w:p w:rsidR="00000000" w:rsidRDefault="00BD0CBE">
      <w:pPr>
        <w:pStyle w:val="Preformat"/>
        <w:rPr>
          <w:rFonts w:ascii="Times New Roman" w:hAnsi="Times New Roman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BD0CBE">
      <w:pPr>
        <w:pStyle w:val="Preformat"/>
        <w:rPr>
          <w:rFonts w:ascii="Times New Roman" w:hAnsi="Times New Roman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</w:rPr>
        <w:object w:dxaOrig="13290" w:dyaOrig="9210">
          <v:shape id="_x0000_i1032" type="#_x0000_t75" style="width:689.25pt;height:477.75pt" o:ole="">
            <v:imagedata r:id="rId12" o:title=""/>
          </v:shape>
          <o:OLEObject Type="Embed" ProgID="MSPhotoEd.3" ShapeID="_x0000_i1032" DrawAspect="Content" ObjectID="_1427199737" r:id="rId13"/>
        </w:object>
      </w:r>
    </w:p>
    <w:p w:rsidR="00000000" w:rsidRDefault="00BD0CBE">
      <w:pPr>
        <w:pStyle w:val="Preformat"/>
        <w:rPr>
          <w:rFonts w:ascii="Times New Roman" w:hAnsi="Times New Roman"/>
        </w:rPr>
      </w:pPr>
    </w:p>
    <w:p w:rsidR="00000000" w:rsidRDefault="00BD0CBE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3" type="#_x0000_t75" style="width:429pt;height:618.75pt">
            <v:imagedata r:id="rId14" o:title=""/>
          </v:shape>
        </w:pict>
      </w:r>
    </w:p>
    <w:p w:rsidR="00000000" w:rsidRDefault="00BD0CBE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4" type="#_x0000_t75" style="width:435pt;height:636.75pt">
            <v:imagedata r:id="rId15" o:title=""/>
          </v:shape>
        </w:pict>
      </w:r>
    </w:p>
    <w:p w:rsidR="00000000" w:rsidRDefault="00BD0CBE">
      <w:pPr>
        <w:pStyle w:val="Preformat"/>
        <w:rPr>
          <w:rFonts w:ascii="Times New Roman" w:hAnsi="Times New Roman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BD0CBE">
      <w:pPr>
        <w:pStyle w:val="Preformat"/>
        <w:rPr>
          <w:rFonts w:ascii="Times New Roman" w:hAnsi="Times New Roman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</w:rPr>
        <w:object w:dxaOrig="16110" w:dyaOrig="11385">
          <v:shape id="_x0000_i1035" type="#_x0000_t75" style="width:675.75pt;height:478.5pt" o:ole="">
            <v:imagedata r:id="rId16" o:title=""/>
          </v:shape>
          <o:OLEObject Type="Embed" ProgID="MSPhotoEd.3" ShapeID="_x0000_i1035" DrawAspect="Content" ObjectID="_1427199738" r:id="rId17"/>
        </w:objec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ТИПЫ И РАЗМЕРЫ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ТЕХНИЧЕСКИЕ ТРЕБОВАНИЯ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 ПРАВИЛА ПРИЕМКИ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4. МЕТОДЫ КОНТРОЛЯ И ИСПЫТАНИЙ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5. МАРКИРОВКА, ХРАНЕНИЕ И ТРАНСПОРТИРОВАНИЕ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6. ГАРАНТИИ ИЗГОТОВИТЕЛЯ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p w:rsidR="00000000" w:rsidRDefault="00BD0CB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Чертеж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0CBE"/>
    <w:rsid w:val="00BD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embeddings/oleObject1.bin" Type="http://schemas.openxmlformats.org/officeDocument/2006/relationships/oleObject"/><Relationship Id="rId13" Target="embeddings/oleObject3.bin" Type="http://schemas.openxmlformats.org/officeDocument/2006/relationships/oleObject"/><Relationship Id="rId18" Target="fontTable.xml" Type="http://schemas.openxmlformats.org/officeDocument/2006/relationships/fontTabl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7.jpeg" Type="http://schemas.openxmlformats.org/officeDocument/2006/relationships/image"/><Relationship Id="rId17" Target="embeddings/oleObject4.bin" Type="http://schemas.openxmlformats.org/officeDocument/2006/relationships/oleObject"/><Relationship Id="rId2" Target="settings.xml" Type="http://schemas.openxmlformats.org/officeDocument/2006/relationships/settings"/><Relationship Id="rId16" Target="media/image10.jpeg" Type="http://schemas.openxmlformats.org/officeDocument/2006/relationships/image"/><Relationship Id="rId1" Target="styles.xml" Type="http://schemas.openxmlformats.org/officeDocument/2006/relationships/styles"/><Relationship Id="rId6" Target="media/image3.png" Type="http://schemas.openxmlformats.org/officeDocument/2006/relationships/image"/><Relationship Id="rId11" Target="media/image6.png" Type="http://schemas.openxmlformats.org/officeDocument/2006/relationships/image"/><Relationship Id="rId5" Target="media/image2.wmf" Type="http://schemas.openxmlformats.org/officeDocument/2006/relationships/image"/><Relationship Id="rId15" Target="media/image9.jpeg" Type="http://schemas.openxmlformats.org/officeDocument/2006/relationships/image"/><Relationship Id="rId10" Target="embeddings/oleObject2.bin" Type="http://schemas.openxmlformats.org/officeDocument/2006/relationships/oleObject"/><Relationship Id="rId19" Target="theme/theme1.xml" Type="http://schemas.openxmlformats.org/officeDocument/2006/relationships/theme"/><Relationship Id="rId4" Target="media/image1.wmf" Type="http://schemas.openxmlformats.org/officeDocument/2006/relationships/image"/><Relationship Id="rId9" Target="media/image5.jpeg" Type="http://schemas.openxmlformats.org/officeDocument/2006/relationships/image"/><Relationship Id="rId14" Target="media/image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2016</Words>
  <Characters>11493</Characters>
  <Application>Microsoft Office Word</Application>
  <DocSecurity>0</DocSecurity>
  <Lines>95</Lines>
  <Paragraphs>26</Paragraphs>
  <ScaleCrop>false</ScaleCrop>
  <Company>Elcom Ltd</Company>
  <LinksUpToDate>false</LinksUpToDate>
  <CharactersWithSpaces>13483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24022-80</dc:title>
  <dc:subject/>
  <dc:creator>CNTI</dc:creator>
  <cp:keywords/>
  <dc:description/>
  <cp:lastModifiedBy>Parhomeiai</cp:lastModifiedBy>
  <cp:revision>2</cp:revision>
  <dcterms:created xsi:type="dcterms:W3CDTF">2013-04-11T10:51:00Z</dcterms:created>
  <dcterms:modified xsi:type="dcterms:W3CDTF">2013-04-11T10:51:00Z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1695926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