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788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ГОСТ 12.2.062-81*</w:t>
      </w:r>
      <w:r>
        <w:rPr>
          <w:sz w:val="24"/>
        </w:rPr>
        <w:br/>
        <w:t>(СТ СЭВ 2696-80)</w:t>
      </w: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</w:p>
    <w:p w:rsidR="00000000" w:rsidRDefault="00403788">
      <w:pPr>
        <w:rPr>
          <w:sz w:val="24"/>
        </w:rPr>
      </w:pPr>
      <w:r>
        <w:rPr>
          <w:sz w:val="24"/>
        </w:rPr>
        <w:t xml:space="preserve">Группа Т58 </w:t>
      </w: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403788">
      <w:pPr>
        <w:pStyle w:val="H3"/>
        <w:jc w:val="center"/>
      </w:pPr>
      <w:r>
        <w:t>ГОСУДАРСТВЕННЫЙ СТАНДАРТ СОЮЗА ССР</w:t>
      </w:r>
      <w:r>
        <w:br/>
      </w:r>
      <w:r>
        <w:br/>
      </w:r>
      <w:r>
        <w:br/>
        <w:t>СИСТЕМА СТАНДАРТОВ БЕЗОПАСНОСТИ ТРУДА</w:t>
      </w:r>
      <w:r>
        <w:br/>
        <w:t>Оборудование производственное</w:t>
      </w:r>
      <w:r>
        <w:br/>
        <w:t>Ограждения защитные</w:t>
      </w:r>
      <w:r>
        <w:br/>
      </w:r>
      <w:r>
        <w:br/>
        <w:t>Occupational safety standards system.</w:t>
      </w:r>
      <w:r>
        <w:br/>
        <w:t>Industrial equipment. Safety protectors</w:t>
      </w:r>
      <w:r>
        <w:br/>
      </w:r>
    </w:p>
    <w:p w:rsidR="00000000" w:rsidRDefault="00403788">
      <w:pPr>
        <w:jc w:val="right"/>
        <w:rPr>
          <w:sz w:val="24"/>
        </w:rPr>
      </w:pPr>
      <w:r>
        <w:rPr>
          <w:sz w:val="24"/>
        </w:rPr>
        <w:t>Д</w:t>
      </w:r>
      <w:r>
        <w:rPr>
          <w:sz w:val="24"/>
        </w:rPr>
        <w:t xml:space="preserve">ата введения 1982-07-01 </w:t>
      </w: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 УТВЕРЖДЕН И ВВЕДЕН в действие Постановлением Государственного комитета СССР по стандартам от 30 октября 1981 г. N 4772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 ПЕРЕИЗДАНИЕ (сентябрь 1985 г.) с Изменением N 1, утвержденным в августе 1983 г. (ИУС 11-83).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 xml:space="preserve">    1. </w:t>
      </w:r>
      <w:r>
        <w:rPr>
          <w:sz w:val="24"/>
        </w:rPr>
        <w:t>Настоящий стандарт распространяется на защитные ограждения (в дальнейшем - ограждения) производственного оборудования, предназначенные для защиты работающих от опасности, создаваемой движущимися частями производственного оборудования, изделиями, загот</w:t>
      </w:r>
      <w:r>
        <w:rPr>
          <w:sz w:val="24"/>
        </w:rPr>
        <w:t>овками и материалами, отлетающими частицами обрабатываемого материала и брызгами смазочно-охлаждающих жидкостей, и устанавливает требования безопасности к конструкции, применению и размерам ограждения в зависимости от расположения опасных элементов.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Стандарт не распространяется на ограждения средств воздушного, водного и наземного транспорта.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Ограждения, находящиеся в эксплуатации, приводят в соответствие с требованиями настоящего стандарта в сроки, установленные министерством (ведомством) по согл</w:t>
      </w:r>
      <w:r>
        <w:rPr>
          <w:sz w:val="24"/>
        </w:rPr>
        <w:t>асованию с соответствующими ЦК профсоюза.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Стандарт полностью соответствует СТ СЭВ 2696-80.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2. Ограждение, крепящееся на корпусе, должно составлять органическое целое с производственным оборудованием и соответствовать требованиям технической эстетики и ГОСТ 12.2.003-74.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b/>
          <w:sz w:val="24"/>
        </w:rPr>
      </w:pPr>
      <w:r>
        <w:rPr>
          <w:b/>
          <w:sz w:val="24"/>
        </w:rPr>
        <w:t>    1, 2. (Измененная редакция, Изм. N 1).</w:t>
      </w: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3. Ограждение не должно ограничивать технологических возможностей оборудования и его обслуживания.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4. Ограждение не должно являться источником опасности.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5. Откидные, раздвиж</w:t>
      </w:r>
      <w:r>
        <w:rPr>
          <w:sz w:val="24"/>
        </w:rPr>
        <w:t>ные и съемные ограждения в защитном положении должны удерживаться от самопроизвольного перемещения. Ограждения, открываемые вверх, должны фиксироваться в открытом положении.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6. Предпочтительно применение сплошных ограждений. Ограждения, изготовленные из сетки, должны иметь конструкцию, обеспечивающую постоянство формы и установленную жесткость.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Расстояние между ограждением, изготовленным из перфорированного материала или сетки, и опасным элементом приведены в таблице.</w:t>
      </w:r>
    </w:p>
    <w:p w:rsidR="00000000" w:rsidRDefault="00403788">
      <w:pPr>
        <w:jc w:val="both"/>
      </w:pPr>
    </w:p>
    <w:p w:rsidR="00000000" w:rsidRDefault="00403788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40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 окружности, вписанн</w:t>
            </w:r>
            <w:r>
              <w:rPr>
                <w:sz w:val="24"/>
              </w:rPr>
              <w:t>ой в отверстие решетки (сетки)</w:t>
            </w:r>
          </w:p>
        </w:tc>
        <w:tc>
          <w:tcPr>
            <w:tcW w:w="4788" w:type="dxa"/>
          </w:tcPr>
          <w:p w:rsidR="00000000" w:rsidRDefault="0040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Расстояние от ограждения до опасного элемента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40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8</w:t>
            </w:r>
          </w:p>
        </w:tc>
        <w:tc>
          <w:tcPr>
            <w:tcW w:w="4788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15</w:t>
            </w:r>
          </w:p>
          <w:p w:rsidR="00000000" w:rsidRDefault="0040378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40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Св. 8 до 10</w:t>
            </w:r>
          </w:p>
        </w:tc>
        <w:tc>
          <w:tcPr>
            <w:tcW w:w="4788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Св. 15 до  35</w:t>
            </w:r>
          </w:p>
          <w:p w:rsidR="00000000" w:rsidRDefault="0040378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40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"  10  " 25</w:t>
            </w:r>
          </w:p>
        </w:tc>
        <w:tc>
          <w:tcPr>
            <w:tcW w:w="4788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   35  " 120</w:t>
            </w:r>
          </w:p>
          <w:p w:rsidR="00000000" w:rsidRDefault="00403788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000000" w:rsidRDefault="004037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"  25  " 40</w:t>
            </w:r>
          </w:p>
        </w:tc>
        <w:tc>
          <w:tcPr>
            <w:tcW w:w="4788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  120  " 200</w:t>
            </w:r>
          </w:p>
          <w:p w:rsidR="00000000" w:rsidRDefault="00403788">
            <w:pPr>
              <w:jc w:val="center"/>
              <w:rPr>
                <w:sz w:val="24"/>
              </w:rPr>
            </w:pPr>
          </w:p>
        </w:tc>
      </w:tr>
    </w:tbl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403788">
      <w:pPr>
        <w:jc w:val="both"/>
      </w:pPr>
      <w:r>
        <w:t>     Примечание. Для ограждений из перфорированного материла, прогиб которого устранить невозможно, безопасное расстояние увеличивают на величину прогиба.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b/>
          <w:sz w:val="24"/>
        </w:rPr>
      </w:pPr>
      <w:r>
        <w:rPr>
          <w:b/>
          <w:sz w:val="24"/>
        </w:rPr>
        <w:t>    (Введен дополнительно, Изм. N 1).</w:t>
      </w:r>
    </w:p>
    <w:p w:rsidR="00000000" w:rsidRDefault="00403788">
      <w:pPr>
        <w:jc w:val="both"/>
        <w:rPr>
          <w:b/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 xml:space="preserve">    7. Конструкция ограждения должна соответствовать функциональному назначению и конструктивному исполнению оборудования, на котором </w:t>
      </w:r>
      <w:r>
        <w:rPr>
          <w:sz w:val="24"/>
        </w:rPr>
        <w:t>оно будет установлено, в соответствии с требованиями ГОСТ 12.2.003-74 и ГОСТ 12.2.061-81, а также условиям, в которых оборудование будет эксплуатироваться.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b/>
          <w:sz w:val="24"/>
        </w:rPr>
      </w:pPr>
      <w:r>
        <w:rPr>
          <w:b/>
          <w:sz w:val="24"/>
        </w:rPr>
        <w:t>    (Измененная редакция, Изм. N 1).</w:t>
      </w:r>
    </w:p>
    <w:p w:rsidR="00000000" w:rsidRDefault="00403788">
      <w:pPr>
        <w:jc w:val="both"/>
        <w:rPr>
          <w:b/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8. Конструкция и крепление ограждения должны исключать возможность случайного соприкосновения работающего и ограждения с ограждаемыми элементами.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9. Прочность ограждения должна быть установлена с учетом нагрузки, определяемой по усилиям воздействия на ограждение работающего, разрушающихся частей оборудовани</w:t>
      </w:r>
      <w:r>
        <w:rPr>
          <w:sz w:val="24"/>
        </w:rPr>
        <w:t>я или выброса.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lastRenderedPageBreak/>
        <w:t>    </w:t>
      </w:r>
      <w:r>
        <w:rPr>
          <w:sz w:val="24"/>
        </w:rPr>
        <w:t>10. Защитная функция ограждения не должна уменьшаться под воздействием производственных факторов (например, вибрации, температуры и т.п.).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11. Ограждение должно быть устроено так, чтобы при работе оборудования его нельзя было передвинуть из защитного положения. Если перемещение возможно, то осуществление его должно привести к останову ограждаемых элементов.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12. Ограждения, препятствующие доступу к элементам оборудования, требующим особого внимания или специально оговоренным, до</w:t>
      </w:r>
      <w:r>
        <w:rPr>
          <w:sz w:val="24"/>
        </w:rPr>
        <w:t>лжны иметь автоматическую блокировку, обеспечивающую работу оборудования только при защитном положении ограждения.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13. Устройство блокировки не должно применяться для автоматического включения элементов или рабочего цикла оборудования.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Блокировка должна включаться от отдельного включающего устройства, которое в установленных случаях должно быть запирающимся.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Необходимость выполнения требований настоящего пункта устанавливают в стандартах на производственное оборудование конкретного вида.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</w:t>
      </w:r>
      <w:r>
        <w:rPr>
          <w:sz w:val="24"/>
        </w:rPr>
        <w:t> 14. Смотровые окна не должны уменьшать защитную функцию ограждения.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15. Ограждение должно изготовляться и устанавливаться с точностью, исключающей перекос или смещение относительно положения, обеспечивающего его защитную функцию.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Зоны безопасности для работающих с учетом использования ограждения должны соответствовать зонам досягаемости моторного поля по ГОСТ 12.2.032-78 и ГОСТ 12.2.033-78.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b/>
          <w:sz w:val="24"/>
        </w:rPr>
      </w:pPr>
      <w:r>
        <w:rPr>
          <w:b/>
          <w:sz w:val="24"/>
        </w:rPr>
        <w:t>     (Измененная редакция, Изм. N 1).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 xml:space="preserve">    16. Ограждения, которые необходимо вручную открывать, снимать, </w:t>
      </w:r>
      <w:r>
        <w:rPr>
          <w:sz w:val="24"/>
        </w:rPr>
        <w:t>перемещать или устанавливать несколько раз в течение одной смены, должны иметь соответствующие устройства (ручки, скобы и т.п.).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17. Ограждение, периодически открывающееся вручную, должно быть окрашено с внутренней стороны в сигнальный цвет по ГОСТ 12.4.026-76. На наружную сторону ограждения наносят или крепят предупреждающий знак.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18. Высоту ограждения выбирают в зависимости от высоты расположения опасного элемента и расстояния между ограждением и опасным элементом (см. чертеж и рекомендуемое при</w:t>
      </w:r>
      <w:r>
        <w:rPr>
          <w:sz w:val="24"/>
        </w:rPr>
        <w:t>ложение).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Пределы досягаемости рук работающего определяют по ГОСТ 12.2.049-80.</w:t>
      </w:r>
    </w:p>
    <w:p w:rsidR="00000000" w:rsidRDefault="00403788">
      <w:pPr>
        <w:jc w:val="both"/>
        <w:rPr>
          <w:sz w:val="24"/>
        </w:rPr>
      </w:pPr>
    </w:p>
    <w:p w:rsidR="00000000" w:rsidRDefault="00403788">
      <w:pPr>
        <w:jc w:val="center"/>
        <w:rPr>
          <w:sz w:val="24"/>
        </w:rPr>
      </w:pPr>
    </w:p>
    <w:p w:rsidR="00000000" w:rsidRDefault="00403788">
      <w:pPr>
        <w:jc w:val="both"/>
        <w:rPr>
          <w:sz w:val="24"/>
        </w:rPr>
      </w:pPr>
      <w:r>
        <w:rPr>
          <w:sz w:val="24"/>
        </w:rPr>
        <w:t>    </w:t>
      </w:r>
    </w:p>
    <w:p w:rsidR="00000000" w:rsidRDefault="0040378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234.75pt">
            <v:imagedata r:id="rId4" o:title=""/>
          </v:shape>
        </w:pict>
      </w:r>
      <w:r>
        <w:fldChar w:fldCharType="begin"/>
      </w:r>
      <w:r>
        <w:instrText xml:space="preserve"> INCLUDEPICTURE "C:\\m.gif\\nd=9051598\\id=2425\\f=3\\p=12\\a.gif" \* MERGEFORMAT \d </w:instrText>
      </w:r>
      <w:r>
        <w:fldChar w:fldCharType="end"/>
      </w:r>
    </w:p>
    <w:p w:rsidR="00000000" w:rsidRDefault="00403788">
      <w:pPr>
        <w:jc w:val="both"/>
      </w:pPr>
      <w:r>
        <w:t>     </w:t>
      </w:r>
    </w:p>
    <w:p w:rsidR="00000000" w:rsidRDefault="00403788">
      <w:pPr>
        <w:jc w:val="center"/>
      </w:pPr>
      <w:r>
        <w:t>1 -ограждение; 2 -опасный элемент.</w:t>
      </w:r>
      <w:r>
        <w:br/>
      </w:r>
    </w:p>
    <w:p w:rsidR="00000000" w:rsidRDefault="00403788">
      <w:pPr>
        <w:jc w:val="center"/>
      </w:pPr>
    </w:p>
    <w:p w:rsidR="00000000" w:rsidRDefault="00403788">
      <w:pPr>
        <w:rPr>
          <w:b/>
          <w:sz w:val="24"/>
        </w:rPr>
      </w:pPr>
      <w:r>
        <w:rPr>
          <w:b/>
          <w:sz w:val="24"/>
        </w:rPr>
        <w:t>     (Введен дополнительно, Изм. N 1).</w:t>
      </w:r>
    </w:p>
    <w:p w:rsidR="00000000" w:rsidRDefault="00403788">
      <w:pPr>
        <w:rPr>
          <w:b/>
          <w:sz w:val="24"/>
        </w:rPr>
      </w:pP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</w:p>
    <w:p w:rsidR="00000000" w:rsidRDefault="00403788">
      <w:pPr>
        <w:pStyle w:val="A10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000000" w:rsidRDefault="00403788">
      <w:pPr>
        <w:pStyle w:val="A10"/>
        <w:tabs>
          <w:tab w:val="clear" w:pos="959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</w:t>
      </w: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  <w:sz w:val="24"/>
        </w:rPr>
      </w:pP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403788">
      <w:pPr>
        <w:pStyle w:val="H3"/>
        <w:jc w:val="center"/>
      </w:pPr>
      <w:r>
        <w:t>Высота ограждения в зависимости</w:t>
      </w:r>
      <w:r>
        <w:br/>
        <w:t>от расположения опасного элемента</w:t>
      </w:r>
      <w: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bottom w:val="nil"/>
            </w:tcBorders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8512" w:type="dxa"/>
            <w:gridSpan w:val="8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Высота защитного ограждения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 опасного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 в</w:t>
            </w:r>
          </w:p>
        </w:tc>
        <w:tc>
          <w:tcPr>
            <w:tcW w:w="8512" w:type="dxa"/>
            <w:gridSpan w:val="8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от опасного элемента до огра</w:t>
            </w:r>
            <w:r>
              <w:rPr>
                <w:rFonts w:ascii="Times New Roman" w:hAnsi="Times New Roman"/>
              </w:rPr>
              <w:t>ждения 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64" w:type="dxa"/>
          </w:tcPr>
          <w:p w:rsidR="00000000" w:rsidRDefault="0040378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</w:tbl>
    <w:p w:rsidR="00000000" w:rsidRDefault="00403788">
      <w:pPr>
        <w:pStyle w:val="A10"/>
        <w:tabs>
          <w:tab w:val="clear" w:pos="9590"/>
        </w:tabs>
        <w:rPr>
          <w:rFonts w:ascii="Times New Roman" w:hAnsi="Times New Roman"/>
        </w:rPr>
      </w:pPr>
    </w:p>
    <w:p w:rsidR="00000000" w:rsidRDefault="00403788">
      <w:r>
        <w:rPr>
          <w:b/>
          <w:sz w:val="24"/>
        </w:rPr>
        <w:t>     (Введено дополнительно, Изм.N 1).</w:t>
      </w:r>
      <w:r>
        <w:rPr>
          <w:b/>
          <w:sz w:val="24"/>
        </w:rPr>
        <w:br/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788"/>
    <w:rsid w:val="004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widowControl w:val="0"/>
    </w:pPr>
    <w:rPr>
      <w:sz w:val="24"/>
    </w:rPr>
  </w:style>
  <w:style w:type="paragraph" w:customStyle="1" w:styleId="N">
    <w:name w:val="N"/>
    <w:basedOn w:val="a"/>
    <w:next w:val="O"/>
    <w:pPr>
      <w:widowControl w:val="0"/>
      <w:ind w:left="360"/>
    </w:pPr>
    <w:rPr>
      <w:sz w:val="24"/>
    </w:r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3">
    <w:name w:val="A"/>
    <w:basedOn w:val="a"/>
    <w:next w:val="a"/>
    <w:pPr>
      <w:widowControl w:val="0"/>
    </w:pPr>
    <w:rPr>
      <w:i/>
      <w:sz w:val="24"/>
    </w:rPr>
  </w:style>
  <w:style w:type="paragraph" w:customStyle="1" w:styleId="O0">
    <w:name w:val="O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Company> 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